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eastAsia="Times New Roman" w:cs="mesNewRomanPSMT"/>
          <w:color w:val="000000"/>
          <w:sz w:val="24"/>
          <w:szCs w:val="24"/>
        </w:rPr>
      </w:pPr>
      <w:bookmarkStart w:id="0" w:name="_GoBack"/>
      <w:bookmarkEnd w:id="0"/>
      <w:r w:rsidRPr="00A752AE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Приложение № 3 к</w:t>
      </w:r>
      <w:r w:rsidRPr="00A752AE">
        <w:rPr>
          <w:rFonts w:eastAsia="Times New Roman" w:cs="mesNewRomanPSMT"/>
          <w:color w:val="000000"/>
          <w:sz w:val="24"/>
          <w:szCs w:val="24"/>
        </w:rPr>
        <w:t xml:space="preserve"> </w:t>
      </w:r>
      <w:r w:rsidRPr="00A752AE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приказу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 w:rsidRPr="00A752AE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 xml:space="preserve">№ </w:t>
      </w:r>
      <w:r w:rsidRPr="00A752AE">
        <w:rPr>
          <w:rFonts w:eastAsia="Times New Roman" w:cs="mesNewRomanPSMT"/>
          <w:color w:val="000000"/>
          <w:sz w:val="24"/>
          <w:szCs w:val="24"/>
        </w:rPr>
        <w:t>_</w:t>
      </w:r>
      <w:r w:rsidRPr="00A752AE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/1 от 1</w:t>
      </w:r>
      <w:r w:rsidRPr="00A752AE">
        <w:rPr>
          <w:rFonts w:eastAsia="Times New Roman" w:cs="mesNewRomanPSMT"/>
          <w:color w:val="000000"/>
          <w:sz w:val="24"/>
          <w:szCs w:val="24"/>
        </w:rPr>
        <w:t>7</w:t>
      </w:r>
      <w:r w:rsidRPr="00A752AE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.03.2015г.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5"/>
          <w:szCs w:val="24"/>
          <w:lang w:val="x-none"/>
        </w:rPr>
      </w:pPr>
      <w:r w:rsidRPr="00A752AE">
        <w:rPr>
          <w:rFonts w:ascii="mesNewRomanPS-BoldMT" w:eastAsia="Times New Roman" w:hAnsi="mesNewRomanPS-BoldMT" w:cs="mesNewRomanPS-BoldMT"/>
          <w:b/>
          <w:color w:val="000000"/>
          <w:sz w:val="25"/>
          <w:szCs w:val="24"/>
          <w:lang w:val="x-none"/>
        </w:rPr>
        <w:t>ПОЛОЖЕНИЕ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-BoldMT"/>
          <w:b/>
          <w:color w:val="000000"/>
          <w:sz w:val="25"/>
          <w:szCs w:val="24"/>
        </w:rPr>
      </w:pPr>
      <w:r w:rsidRPr="00A752AE">
        <w:rPr>
          <w:rFonts w:ascii="mesNewRomanPS-BoldMT" w:eastAsia="Times New Roman" w:hAnsi="mesNewRomanPS-BoldMT" w:cs="mesNewRomanPS-BoldMT"/>
          <w:b/>
          <w:color w:val="000000"/>
          <w:sz w:val="25"/>
          <w:szCs w:val="24"/>
          <w:lang w:val="x-none"/>
        </w:rPr>
        <w:t xml:space="preserve">ОБ АПЕЛЛЯЦИОННОЙ КОМИССИИ </w:t>
      </w:r>
      <w:r w:rsidRPr="00A752AE">
        <w:rPr>
          <w:rFonts w:ascii="Times New Roman" w:eastAsia="Times New Roman" w:hAnsi="Times New Roman" w:cs="Times New Roman"/>
          <w:b/>
          <w:color w:val="000000"/>
          <w:sz w:val="25"/>
          <w:szCs w:val="24"/>
        </w:rPr>
        <w:t>МАУ ДО НИЖНЕТАВДИНСКОГО МУНИЦИПАЛЬНОГО РАЙОНА «ДЮСШ»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 Общие положения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1.1. Апелляционная комиссия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Нижнетавдинского муниципального района «ДЮСШ»</w:t>
      </w:r>
      <w:r w:rsidRPr="00A7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создается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обеспечения соблюдения единых требован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ий в разрешении спорных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вопросов при проведении индивидуального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тбора при приеме на обучение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дополнительным образовательным предпрофе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ссиональным программам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образовательные программы) и спортивну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ю подготовку путем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апелляционных заявлений поступающих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ли их законных представителей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принятия решений по апелляциям. Апелляционн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ая комиссия создается на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проведения индивидуального отбора.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1.2. В своей работе Апелляционная 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сия руководствуется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законом от 29.12.2012 № 273-ФЗ "Об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овании в Российской Федерации",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Федеральным законом от 04.12.2007 № 329-ФЗ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физической культуре и спорте»,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Порядком приема на обучение по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лнительным предпрофессиональным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программам в области физической культуры и спорта,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Министерства спорта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№ 731 от 12.09.2013г.,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Департамента по спорту и молодежной политике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Тюменской области от 21.03.2014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№ 76, иными нормативными правовым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актами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Тюменской области, регулирующими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 приема на обучение, Правилами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приема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Нижнетавдинского муниципального района «ДЮСШ»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Нижнетавдинского муниципального района «ДЮСШ»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настоящим Положением, приказами и распоряжениями директора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Нижнетавдинского муниципального района «ДЮСШ»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иными локальными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Нижнетавдинского муниципального района «ДЮСШ»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, 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«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1.3. Апелляционная комиссия осуществляет свою работу в период проведения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индивидуального отбора, проводимого ДЮСШ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, при приеме на обучение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спортивную подготовку.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 Состав Апелляционной комиссии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 Состав Апелляционной комиссии формируется из числа 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опытных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квалифицированных специалистов трене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рско-преподавательского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ДЮСШ.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 В состав Апелляционной комиссии входят: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председатель Апелляционной комиссии;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члены Апелляционной комиссии.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 Персональный состав Апелляционной комиссии утверждается приказом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директора ДЮСШ.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3. Полномочия и функции Апелляционной комиссии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 Апелляционная комиссия в рамках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оведения индивидуального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выполняет следующие функции: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принимает и рассматривает апелляц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ии, поданные поступающим или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законными представителями по результатам индивидуального отбора;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определяет соответствие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одержания, структуры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индивидуального отбора и процедуры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оценивания результатов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установленным требованиям;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принимает решение по результатам рассмотрения апелляции;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информирует поступающего, или его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конного представителя подавшего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апелляцию, а также Приемную комиссию о принятом решении.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 В целях выполнения своих функций Апелляционна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я комиссия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порядке вправе: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запрашивать и получать у уполномочен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ных лиц необходимые документы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сведения;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привлекать к рассмотрению апелляций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нерско-преподавательский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 соответствующим видам спорта в случае возникновения спорных вопросов.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 Организация работы Апелляционной комиссии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4.1. Работу Апелляционной комиссии возглавляет председатель комиссии.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4.2. Решения Апелляционной комиссии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ринимаются простым большинством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голосов от списочного состава Апелляционной комиссии.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4.3. Апелляционная комиссия правомочна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ринимать решения при наличии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заседании не менее трех ее членов.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равенства голосов 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комиссии имеет право решающего голоса.</w:t>
      </w:r>
    </w:p>
    <w:p w:rsidR="00A752AE" w:rsidRPr="00A752AE" w:rsidRDefault="00A752AE" w:rsidP="00A752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4.4. Решения Апелляционной комиссии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формляются протоколами,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63E"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 w:rsidRPr="00A752AE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подписываются председателем и членами комиссии.</w:t>
      </w:r>
    </w:p>
    <w:p w:rsidR="00F5526D" w:rsidRPr="00A752AE" w:rsidRDefault="00F5526D">
      <w:pPr>
        <w:rPr>
          <w:lang w:val="x-none"/>
        </w:rPr>
      </w:pPr>
    </w:p>
    <w:sectPr w:rsidR="00F5526D" w:rsidRPr="00A752AE" w:rsidSect="00A242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AE"/>
    <w:rsid w:val="0025008A"/>
    <w:rsid w:val="009E163E"/>
    <w:rsid w:val="00A752AE"/>
    <w:rsid w:val="00F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2015-04-21T06:13:00Z</dcterms:created>
  <dcterms:modified xsi:type="dcterms:W3CDTF">2015-04-21T06:13:00Z</dcterms:modified>
</cp:coreProperties>
</file>